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ind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Enseñar-aprender a investigar en la virtualidad: trazas del consumo en el aula de metodología de la investigación</w:t>
      </w:r>
    </w:p>
    <w:p w:rsidR="00000000" w:rsidDel="00000000" w:rsidP="00000000" w:rsidRDefault="00000000" w:rsidRPr="00000000" w14:paraId="00000002">
      <w:pPr>
        <w:spacing w:after="120"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12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Teaching-learning to research in virtuality: traces of consumption in the research methodology classroom</w:t>
      </w:r>
    </w:p>
    <w:p w:rsidR="00000000" w:rsidDel="00000000" w:rsidP="00000000" w:rsidRDefault="00000000" w:rsidRPr="00000000" w14:paraId="00000004">
      <w:pPr>
        <w:spacing w:after="120" w:line="240"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Ensenyar-aprendre a investigar en la virtualitat: traces del consum a l'aula de metodologia de la investigació</w:t>
      </w:r>
      <w:r w:rsidDel="00000000" w:rsidR="00000000" w:rsidRPr="00000000">
        <w:rPr>
          <w:rtl w:val="0"/>
        </w:rPr>
      </w:r>
    </w:p>
    <w:p w:rsidR="00000000" w:rsidDel="00000000" w:rsidP="00000000" w:rsidRDefault="00000000" w:rsidRPr="00000000" w14:paraId="00000006">
      <w:pPr>
        <w:spacing w:after="120" w:line="240" w:lineRule="auto"/>
        <w:ind w:left="0" w:firstLine="0"/>
        <w:jc w:val="both"/>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7">
      <w:pPr>
        <w:spacing w:after="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Resumen </w:t>
      </w:r>
      <w:r w:rsidDel="00000000" w:rsidR="00000000" w:rsidRPr="00000000">
        <w:rPr>
          <w:rtl w:val="0"/>
        </w:rPr>
      </w:r>
    </w:p>
    <w:p w:rsidR="00000000" w:rsidDel="00000000" w:rsidP="00000000" w:rsidRDefault="00000000" w:rsidRPr="00000000" w14:paraId="00000008">
      <w:pPr>
        <w:spacing w:after="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lo largo de las últimas décadas la reflexión respecto a la enseñanza de la metodología de la investigación social en el ámbito universitario ha adquirido relevancia en diversos ámbitos académicos. Dicha reflexión va asumiendo nuevos contornos ante la emergencia sanitaria por la pandemia de Covid-19 y el paso a la virtualidad de la educación en todos sus niveles; en el caso de la universitaria los años 2020 y 21 fueron dictados netamente a través de distintas plataformas online.</w:t>
      </w:r>
    </w:p>
    <w:p w:rsidR="00000000" w:rsidDel="00000000" w:rsidP="00000000" w:rsidRDefault="00000000" w:rsidRPr="00000000" w14:paraId="00000009">
      <w:pPr>
        <w:spacing w:after="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práctica de la investigación y los procesos de enseñanza aprendizaje de la misma, constituyen un quehacer situado, un modo “de hacer y de ver” (Selltiz y otros, 1965), que implica considerar cómo las teorías “a la mano”, los instrumentos e incluso nuestros esquemas de percepción, observación e interpretación del mundo, se encuentran atravesados por los procesos y planteos de una época. En vista de ello, en el marco de unos modos de estructuración social basados en el disfrute inmediato a través del consumo (Scribano, 2004), aquí proponemos revisar cómo esto no deja por fuera a la enseñanza aprendizaje de la metodología de la investigación social. </w:t>
      </w:r>
      <w:r w:rsidDel="00000000" w:rsidR="00000000" w:rsidRPr="00000000">
        <w:rPr>
          <w:rFonts w:ascii="Times New Roman" w:cs="Times New Roman" w:eastAsia="Times New Roman" w:hAnsi="Times New Roman"/>
          <w:highlight w:val="white"/>
          <w:rtl w:val="0"/>
        </w:rPr>
        <w:t xml:space="preserve">E</w:t>
      </w:r>
      <w:r w:rsidDel="00000000" w:rsidR="00000000" w:rsidRPr="00000000">
        <w:rPr>
          <w:rFonts w:ascii="Times New Roman" w:cs="Times New Roman" w:eastAsia="Times New Roman" w:hAnsi="Times New Roman"/>
          <w:rtl w:val="0"/>
        </w:rPr>
        <w:t xml:space="preserve">n nuestro carácter de docentes de la asignatura metodología de la investigación en cursos de grado y posgrado damos lugar a algunos interrogantes: el consumo en tanto modo de relación social ¿entró a las aulas?  ¿Cuál es su relación con el proceso de enseñanza-aprendizaje? ¿Cómo afectó a esta relación la virtualidad? ¿cuánto se alejan o acercan las interacciones entre docentes y estudiantes a las del mercado?</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A">
      <w:pPr>
        <w:spacing w:after="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Palabras Clave: </w:t>
      </w:r>
      <w:r w:rsidDel="00000000" w:rsidR="00000000" w:rsidRPr="00000000">
        <w:rPr>
          <w:rFonts w:ascii="Times New Roman" w:cs="Times New Roman" w:eastAsia="Times New Roman" w:hAnsi="Times New Roman"/>
          <w:rtl w:val="0"/>
        </w:rPr>
        <w:t xml:space="preserve">Consumo; Pandemia; Investigación Social. </w:t>
      </w:r>
    </w:p>
    <w:p w:rsidR="00000000" w:rsidDel="00000000" w:rsidP="00000000" w:rsidRDefault="00000000" w:rsidRPr="00000000" w14:paraId="0000000B">
      <w:pPr>
        <w:spacing w:after="12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Abstract</w:t>
      </w:r>
      <w:r w:rsidDel="00000000" w:rsidR="00000000" w:rsidRPr="00000000">
        <w:rPr>
          <w:rtl w:val="0"/>
        </w:rPr>
      </w:r>
    </w:p>
    <w:p w:rsidR="00000000" w:rsidDel="00000000" w:rsidP="00000000" w:rsidRDefault="00000000" w:rsidRPr="00000000" w14:paraId="0000000D">
      <w:pPr>
        <w:spacing w:after="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Throughout the last decades, the reflection regarding the teaching of the methodology of social research in the university environment has acquired relevance not only in the classroom but also in various academic fields. This reflection is assuming new contours in the face of the health emergency due to the Covid-19 pandemic and the transition to the virtuality of education at all levels; In the case of the university, the years 2020 and 21 were dictated clearly through different online platforms.</w:t>
      </w:r>
    </w:p>
    <w:p w:rsidR="00000000" w:rsidDel="00000000" w:rsidP="00000000" w:rsidRDefault="00000000" w:rsidRPr="00000000" w14:paraId="0000000E">
      <w:pPr>
        <w:spacing w:after="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practice of research and its teaching-learning processes constitute a situated task, a way "of doing and seeing" (Selltiz et al., 1965), which implies considering how the theories "at hand", the instruments and even our schemes of perception, observation and interpretation of the world, are crossed by the processes and ideas of an era. In view of this, within the framework of social structuring modes based on immediate enjoyment through consumption (Scribano, 2004), here we propose to review how said structuring mode does not exclude teaching-learning modes in general and of the methodology of social research in particular. As teachers of the methodology of social research in undergraduate and graduate courses, we give rise to some questions: Consumption as a mode of social relationship, did it enter the classroom? What is its relationship with the teaching-learning process of this subject? How did virtuality affect this relationship? How far are the interactions between teachers and students from those related to the market?</w:t>
      </w:r>
    </w:p>
    <w:p w:rsidR="00000000" w:rsidDel="00000000" w:rsidP="00000000" w:rsidRDefault="00000000" w:rsidRPr="00000000" w14:paraId="0000000F">
      <w:pPr>
        <w:spacing w:after="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Keywords: </w:t>
      </w:r>
      <w:r w:rsidDel="00000000" w:rsidR="00000000" w:rsidRPr="00000000">
        <w:rPr>
          <w:rFonts w:ascii="Times New Roman" w:cs="Times New Roman" w:eastAsia="Times New Roman" w:hAnsi="Times New Roman"/>
          <w:rtl w:val="0"/>
        </w:rPr>
        <w:t xml:space="preserve">Consumption; Pandemic; Social investigation.</w:t>
      </w:r>
    </w:p>
    <w:p w:rsidR="00000000" w:rsidDel="00000000" w:rsidP="00000000" w:rsidRDefault="00000000" w:rsidRPr="00000000" w14:paraId="00000010">
      <w:pPr>
        <w:spacing w:after="12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Resum</w:t>
      </w:r>
      <w:r w:rsidDel="00000000" w:rsidR="00000000" w:rsidRPr="00000000">
        <w:rPr>
          <w:rtl w:val="0"/>
        </w:rPr>
      </w:r>
    </w:p>
    <w:p w:rsidR="00000000" w:rsidDel="00000000" w:rsidP="00000000" w:rsidRDefault="00000000" w:rsidRPr="00000000" w14:paraId="00000012">
      <w:pPr>
        <w:spacing w:after="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llarg de les darreres dècades la reflexió respecte a l'ensenyament de la metodologia de la investigació social a l'àmbit universitari ha adquirit rellevància en diversos àmbits acadèmics. Aquesta reflexió va assumint nous contorns davant de l'emergència sanitària per la pandèmia de Covid-19 i el pas a la virtualitat de l'educació a tots els nivells; en el cas de la universitària els anys 2020 i 21 van ser dictats netament a través de diferents plataformes en línia.</w:t>
      </w:r>
    </w:p>
    <w:p w:rsidR="00000000" w:rsidDel="00000000" w:rsidP="00000000" w:rsidRDefault="00000000" w:rsidRPr="00000000" w14:paraId="00000013">
      <w:pPr>
        <w:spacing w:after="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pràctica de la recerca i els processos d'ensenyament aprenentatge de la mateixa, constitueixen una tasca situada, una manera de fer i de veure (Selltiz i altres, 1965), que implica considerar com les teories “a la mà”, els instruments i fins i tot els nostres esquemes de percepció, observació i interpretació del món, es troben travessats pels processos i els plantejaments d'una època. En vista d'això, en el marc d'unes maneres d'estructuració social basades en el gaudi immediat a través del consum (Scribano, 2004), proposem aquí revisar com això no deixa per fora l'ensenyament aprenentatge de la metodologia de la investigació social. En el nostre caràcter de docents de l'assignatura metodologia de la investigació en cursos de grau i postgrau donem lloc a alguns interrogants: el consum en tanta manera de relació social va entrar a les aules? quina és la seva relació amb el procés d'ensenyament- aprenentatge? com va afectar a aquesta relació la virtualitat? quant s'allunyen o apropen les interaccions entre docents i estudiants a les del mercat?</w:t>
      </w:r>
    </w:p>
    <w:p w:rsidR="00000000" w:rsidDel="00000000" w:rsidP="00000000" w:rsidRDefault="00000000" w:rsidRPr="00000000" w14:paraId="00000014">
      <w:pPr>
        <w:spacing w:after="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Paraules clau: </w:t>
      </w:r>
      <w:r w:rsidDel="00000000" w:rsidR="00000000" w:rsidRPr="00000000">
        <w:rPr>
          <w:rFonts w:ascii="Times New Roman" w:cs="Times New Roman" w:eastAsia="Times New Roman" w:hAnsi="Times New Roman"/>
          <w:rtl w:val="0"/>
        </w:rPr>
        <w:t xml:space="preserve">Consum; Pandèmia; Investigació Social.</w:t>
      </w:r>
    </w:p>
    <w:p w:rsidR="00000000" w:rsidDel="00000000" w:rsidP="00000000" w:rsidRDefault="00000000" w:rsidRPr="00000000" w14:paraId="00000015">
      <w:pPr>
        <w:spacing w:after="120" w:line="240" w:lineRule="auto"/>
        <w:ind w:hanging="2"/>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after="120" w:line="240" w:lineRule="auto"/>
        <w:ind w:left="0" w:firstLine="0"/>
        <w:jc w:val="both"/>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7">
      <w:pPr>
        <w:spacing w:after="120" w:line="240" w:lineRule="auto"/>
        <w:ind w:left="0" w:firstLine="0"/>
        <w:jc w:val="both"/>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8">
      <w:pPr>
        <w:spacing w:after="120" w:line="240" w:lineRule="auto"/>
        <w:ind w:hanging="2"/>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Autoras</w:t>
      </w:r>
    </w:p>
    <w:p w:rsidR="00000000" w:rsidDel="00000000" w:rsidP="00000000" w:rsidRDefault="00000000" w:rsidRPr="00000000" w14:paraId="00000019">
      <w:pPr>
        <w:spacing w:after="120" w:line="24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Angélica De Sena </w:t>
      </w:r>
    </w:p>
    <w:p w:rsidR="00000000" w:rsidDel="00000000" w:rsidP="00000000" w:rsidRDefault="00000000" w:rsidRPr="00000000" w14:paraId="0000001A">
      <w:pPr>
        <w:spacing w:after="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Consejo Nacional de Investigaciones Científicas y Técnicas</w:t>
      </w:r>
      <w:r w:rsidDel="00000000" w:rsidR="00000000" w:rsidRPr="00000000">
        <w:rPr>
          <w:rFonts w:ascii="Times New Roman" w:cs="Times New Roman" w:eastAsia="Times New Roman" w:hAnsi="Times New Roman"/>
          <w:rtl w:val="0"/>
        </w:rPr>
        <w:t xml:space="preserve">; Universidad Nacional de La Matanza; Universidad de Buenos Aires (CONICET-UNLaM; UBA) </w:t>
      </w:r>
    </w:p>
    <w:p w:rsidR="00000000" w:rsidDel="00000000" w:rsidP="00000000" w:rsidRDefault="00000000" w:rsidRPr="00000000" w14:paraId="0000001B">
      <w:pPr>
        <w:spacing w:after="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Ciudad de Buenos Aires, Argentina.</w:t>
      </w:r>
    </w:p>
    <w:p w:rsidR="00000000" w:rsidDel="00000000" w:rsidP="00000000" w:rsidRDefault="00000000" w:rsidRPr="00000000" w14:paraId="0000001C">
      <w:pPr>
        <w:spacing w:after="120" w:line="240" w:lineRule="auto"/>
        <w:ind w:hanging="2"/>
        <w:jc w:val="both"/>
        <w:rPr>
          <w:rFonts w:ascii="Times New Roman" w:cs="Times New Roman" w:eastAsia="Times New Roman" w:hAnsi="Times New Roman"/>
        </w:rPr>
      </w:pPr>
      <w:bookmarkStart w:colFirst="0" w:colLast="0" w:name="_gjdgxs" w:id="0"/>
      <w:bookmarkEnd w:id="0"/>
      <w:hyperlink r:id="rId6">
        <w:r w:rsidDel="00000000" w:rsidR="00000000" w:rsidRPr="00000000">
          <w:rPr>
            <w:rFonts w:ascii="Times New Roman" w:cs="Times New Roman" w:eastAsia="Times New Roman" w:hAnsi="Times New Roman"/>
            <w:color w:val="0000ff"/>
            <w:u w:val="single"/>
            <w:rtl w:val="0"/>
          </w:rPr>
          <w:t xml:space="preserve">angelicadesena@gmail.com</w:t>
        </w:r>
      </w:hyperlink>
      <w:r w:rsidDel="00000000" w:rsidR="00000000" w:rsidRPr="00000000">
        <w:rPr>
          <w:rtl w:val="0"/>
        </w:rPr>
      </w:r>
    </w:p>
    <w:p w:rsidR="00000000" w:rsidDel="00000000" w:rsidP="00000000" w:rsidRDefault="00000000" w:rsidRPr="00000000" w14:paraId="0000001D">
      <w:pPr>
        <w:spacing w:after="120" w:line="240" w:lineRule="auto"/>
        <w:ind w:hanging="2"/>
        <w:jc w:val="both"/>
        <w:rPr>
          <w:rFonts w:ascii="Times New Roman" w:cs="Times New Roman" w:eastAsia="Times New Roman" w:hAnsi="Times New Roman"/>
        </w:rPr>
      </w:pPr>
      <w:bookmarkStart w:colFirst="0" w:colLast="0" w:name="_oxbkgdhr3cyw" w:id="1"/>
      <w:bookmarkEnd w:id="1"/>
      <w:hyperlink r:id="rId7">
        <w:r w:rsidDel="00000000" w:rsidR="00000000" w:rsidRPr="00000000">
          <w:rPr>
            <w:rFonts w:ascii="Times New Roman" w:cs="Times New Roman" w:eastAsia="Times New Roman" w:hAnsi="Times New Roman"/>
            <w:color w:val="1155cc"/>
            <w:u w:val="single"/>
            <w:rtl w:val="0"/>
          </w:rPr>
          <w:t xml:space="preserve">https://orcid.org/0000-0003-2174-3121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spacing w:after="120" w:line="240" w:lineRule="auto"/>
        <w:ind w:hanging="2"/>
        <w:jc w:val="both"/>
        <w:rPr>
          <w:rFonts w:ascii="Times New Roman" w:cs="Times New Roman" w:eastAsia="Times New Roman" w:hAnsi="Times New Roman"/>
        </w:rPr>
      </w:pPr>
      <w:bookmarkStart w:colFirst="0" w:colLast="0" w:name="_15wqlpv8mtyd" w:id="2"/>
      <w:bookmarkEnd w:id="2"/>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spacing w:after="120" w:line="24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Andrea Dettano </w:t>
      </w:r>
    </w:p>
    <w:p w:rsidR="00000000" w:rsidDel="00000000" w:rsidP="00000000" w:rsidRDefault="00000000" w:rsidRPr="00000000" w14:paraId="00000020">
      <w:pPr>
        <w:spacing w:after="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Consejo Nacional de Investigaciones Científicas y Técnicas; Universidad Nacional de La Matanza; Universidad de Buenos Aires (CONICET-UNLaM; UBA)</w:t>
      </w:r>
    </w:p>
    <w:p w:rsidR="00000000" w:rsidDel="00000000" w:rsidP="00000000" w:rsidRDefault="00000000" w:rsidRPr="00000000" w14:paraId="00000021">
      <w:pPr>
        <w:spacing w:after="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Ciudad de Buenos Aires, Argentina.</w:t>
      </w:r>
    </w:p>
    <w:p w:rsidR="00000000" w:rsidDel="00000000" w:rsidP="00000000" w:rsidRDefault="00000000" w:rsidRPr="00000000" w14:paraId="00000022">
      <w:pPr>
        <w:spacing w:after="120" w:line="240" w:lineRule="auto"/>
        <w:ind w:hanging="2"/>
        <w:jc w:val="both"/>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0000ff"/>
            <w:u w:val="single"/>
            <w:rtl w:val="0"/>
          </w:rPr>
          <w:t xml:space="preserve">andreadettano@gmail.com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spacing w:after="120" w:line="240" w:lineRule="auto"/>
        <w:ind w:hanging="2"/>
        <w:jc w:val="both"/>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https://orcid.org/0000-0001-9985-6690</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spacing w:after="12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12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1"/>
          <w:numId w:val="1"/>
        </w:numPr>
        <w:spacing w:after="120" w:line="240" w:lineRule="auto"/>
        <w:ind w:left="1440" w:hanging="360"/>
        <w:jc w:val="both"/>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color w:val="333333"/>
          <w:rtl w:val="0"/>
        </w:rPr>
        <w:t xml:space="preserve">¿Qué se sabe actualmente sobre el objeto de esta investigación [pasado]?</w:t>
      </w:r>
    </w:p>
    <w:p w:rsidR="00000000" w:rsidDel="00000000" w:rsidP="00000000" w:rsidRDefault="00000000" w:rsidRPr="00000000" w14:paraId="00000027">
      <w:pPr>
        <w:spacing w:after="12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enseñanza de la metodología de la investigación concentra importantes producciones y desarrollos así como numerosos autores hay no poco escrito, son varios los autores ocupados al respecto (una de las autoras se encuentra en este grupo). Si bien es posible hallar estudios que aborden la educación superior a distancia, es muy poco lo producido sobre el contexto de pandemia. No hemos encontrado trabajos que vinculen la enseñanza de la metodología de la investigaciòn en pandemia con el consumo en tanto práctica social </w:t>
      </w:r>
    </w:p>
    <w:p w:rsidR="00000000" w:rsidDel="00000000" w:rsidP="00000000" w:rsidRDefault="00000000" w:rsidRPr="00000000" w14:paraId="00000028">
      <w:pPr>
        <w:numPr>
          <w:ilvl w:val="1"/>
          <w:numId w:val="1"/>
        </w:numPr>
        <w:spacing w:after="120" w:line="240" w:lineRule="auto"/>
        <w:ind w:left="1440" w:hanging="360"/>
        <w:jc w:val="both"/>
        <w:rPr>
          <w:rFonts w:ascii="Times New Roman" w:cs="Times New Roman" w:eastAsia="Times New Roman" w:hAnsi="Times New Roman"/>
          <w:b w:val="1"/>
          <w:i w:val="1"/>
          <w:color w:val="000000"/>
          <w:sz w:val="22"/>
          <w:szCs w:val="22"/>
        </w:rPr>
      </w:pPr>
      <w:r w:rsidDel="00000000" w:rsidR="00000000" w:rsidRPr="00000000">
        <w:rPr>
          <w:rFonts w:ascii="Times New Roman" w:cs="Times New Roman" w:eastAsia="Times New Roman" w:hAnsi="Times New Roman"/>
          <w:b w:val="1"/>
          <w:i w:val="1"/>
          <w:rtl w:val="0"/>
        </w:rPr>
        <w:t xml:space="preserve">¿Qué aporta este artículo como original [presente]?</w:t>
      </w:r>
    </w:p>
    <w:p w:rsidR="00000000" w:rsidDel="00000000" w:rsidP="00000000" w:rsidRDefault="00000000" w:rsidRPr="00000000" w14:paraId="00000029">
      <w:pPr>
        <w:spacing w:after="12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artículo pretende incorporar una perspectiva no solo novedosa por su escaso o nulo abordaje previo, considerando los modos en que el consumo y la mercantilización ingresan en los modos de ser y estar en las aulas, presenciales y virtuales. A ello se suma la posibilidad de realizar lecturas de la enseñanza-aprendizaje de la metodología de la investigación incorporando los modos de estructuraciòn social en el Siglo XXI al análisis, desde una perspectiva sociológica </w:t>
      </w:r>
    </w:p>
    <w:p w:rsidR="00000000" w:rsidDel="00000000" w:rsidP="00000000" w:rsidRDefault="00000000" w:rsidRPr="00000000" w14:paraId="0000002A">
      <w:pPr>
        <w:numPr>
          <w:ilvl w:val="1"/>
          <w:numId w:val="1"/>
        </w:numPr>
        <w:spacing w:after="120" w:line="240" w:lineRule="auto"/>
        <w:ind w:left="1440" w:hanging="360"/>
        <w:jc w:val="both"/>
        <w:rPr>
          <w:rFonts w:ascii="Times New Roman" w:cs="Times New Roman" w:eastAsia="Times New Roman" w:hAnsi="Times New Roman"/>
          <w:b w:val="1"/>
          <w:i w:val="1"/>
          <w:color w:val="000000"/>
          <w:sz w:val="22"/>
          <w:szCs w:val="22"/>
        </w:rPr>
      </w:pPr>
      <w:r w:rsidDel="00000000" w:rsidR="00000000" w:rsidRPr="00000000">
        <w:rPr>
          <w:rFonts w:ascii="Times New Roman" w:cs="Times New Roman" w:eastAsia="Times New Roman" w:hAnsi="Times New Roman"/>
          <w:b w:val="1"/>
          <w:i w:val="1"/>
          <w:rtl w:val="0"/>
        </w:rPr>
        <w:t xml:space="preserve">¿Cuáles son las implicaciones de este trabajo para la práctica y la política futura [futuro]?</w:t>
      </w:r>
    </w:p>
    <w:p w:rsidR="00000000" w:rsidDel="00000000" w:rsidP="00000000" w:rsidRDefault="00000000" w:rsidRPr="00000000" w14:paraId="0000002B">
      <w:pP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artículo pretende hacer un aporte y apertura a la reflexión sobre los modos de enseñar la metodología de la investigación considerando procesos y elementos de los entramados sociales del presente Siglo, donde dichas prácticas se materializan. En esta línea, el consumo envuelve un conjunto de prácticas, sentires y disposiciones que inciden sobre diferentes ámbitos de acción, incluidas las aulas, por lo que este escrito invita a su consideración y análisis.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erriweather" w:cs="Merriweather" w:eastAsia="Merriweather" w:hAnsi="Merriweather"/>
        <w:color w:val="333333"/>
        <w:sz w:val="24"/>
        <w:szCs w:val="24"/>
        <w:u w:val="none"/>
      </w:rPr>
    </w:lvl>
    <w:lvl w:ilvl="1">
      <w:start w:val="1"/>
      <w:numFmt w:val="bullet"/>
      <w:lvlText w:val="○"/>
      <w:lvlJc w:val="left"/>
      <w:pPr>
        <w:ind w:left="1440" w:hanging="360"/>
      </w:pPr>
      <w:rPr>
        <w:rFonts w:ascii="Merriweather" w:cs="Merriweather" w:eastAsia="Merriweather" w:hAnsi="Merriweather"/>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cid.org/0000-0001-9985-6690" TargetMode="External"/><Relationship Id="rId5" Type="http://schemas.openxmlformats.org/officeDocument/2006/relationships/styles" Target="styles.xml"/><Relationship Id="rId6" Type="http://schemas.openxmlformats.org/officeDocument/2006/relationships/hyperlink" Target="mailto:angelicadesena@gmail.com" TargetMode="External"/><Relationship Id="rId7" Type="http://schemas.openxmlformats.org/officeDocument/2006/relationships/hyperlink" Target="https://orcid.org/0000-0003-2174-3121" TargetMode="External"/><Relationship Id="rId8" Type="http://schemas.openxmlformats.org/officeDocument/2006/relationships/hyperlink" Target="mailto:andreadettano@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